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6FA0F" w14:textId="304DE179" w:rsidR="00CB04DC" w:rsidRPr="008A1F6F" w:rsidRDefault="00B03758" w:rsidP="00CB04DC">
      <w:pPr>
        <w:rPr>
          <w:b/>
          <w:bCs/>
          <w:color w:val="000000" w:themeColor="text1"/>
          <w:lang w:val="en-US" w:eastAsia="en-US"/>
        </w:rPr>
      </w:pPr>
      <w:r>
        <w:rPr>
          <w:b/>
          <w:bCs/>
          <w:color w:val="000000" w:themeColor="text1"/>
          <w:lang w:val="en-US" w:eastAsia="en-US"/>
        </w:rPr>
        <w:t xml:space="preserve">S1 </w:t>
      </w:r>
      <w:r w:rsidR="00CB04DC" w:rsidRPr="008A1F6F">
        <w:rPr>
          <w:b/>
          <w:bCs/>
          <w:color w:val="000000" w:themeColor="text1"/>
          <w:lang w:val="en-US" w:eastAsia="en-US"/>
        </w:rPr>
        <w:t>Table. Detailed description of individual models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23"/>
        <w:gridCol w:w="1246"/>
        <w:gridCol w:w="1247"/>
        <w:gridCol w:w="1246"/>
        <w:gridCol w:w="1247"/>
        <w:gridCol w:w="1246"/>
        <w:gridCol w:w="1247"/>
        <w:gridCol w:w="1246"/>
        <w:gridCol w:w="1247"/>
        <w:gridCol w:w="1247"/>
      </w:tblGrid>
      <w:tr w:rsidR="00CB04DC" w:rsidRPr="008A1F6F" w14:paraId="2478A8AE" w14:textId="77777777" w:rsidTr="00691581">
        <w:tc>
          <w:tcPr>
            <w:tcW w:w="1723" w:type="dxa"/>
            <w:tcBorders>
              <w:top w:val="single" w:sz="8" w:space="0" w:color="1F1F1F"/>
              <w:left w:val="single" w:sz="8" w:space="0" w:color="1F1F1F"/>
              <w:bottom w:val="single" w:sz="6" w:space="0" w:color="1F1F1F"/>
              <w:right w:val="single" w:sz="6" w:space="0" w:color="1F1F1F"/>
            </w:tcBorders>
            <w:shd w:val="clear" w:color="auto" w:fill="auto"/>
            <w:tcMar>
              <w:top w:w="100" w:type="dxa"/>
              <w:left w:w="100" w:type="dxa"/>
              <w:bottom w:w="100" w:type="dxa"/>
              <w:right w:w="100" w:type="dxa"/>
            </w:tcMar>
            <w:vAlign w:val="center"/>
            <w:hideMark/>
          </w:tcPr>
          <w:p w14:paraId="35B3E632" w14:textId="77777777" w:rsidR="00CB04DC" w:rsidRPr="008A1F6F" w:rsidRDefault="00CB04DC" w:rsidP="00691581">
            <w:pPr>
              <w:rPr>
                <w:color w:val="000000" w:themeColor="text1"/>
              </w:rPr>
            </w:pP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192D059" w14:textId="3BAA760F" w:rsidR="00CB04DC" w:rsidRPr="008A1F6F" w:rsidRDefault="00CB04DC" w:rsidP="00691581">
            <w:pPr>
              <w:pStyle w:val="NormlWeb"/>
              <w:spacing w:before="0" w:beforeAutospacing="0" w:after="0" w:afterAutospacing="0"/>
              <w:rPr>
                <w:color w:val="000000" w:themeColor="text1"/>
                <w:lang w:val="en-US"/>
              </w:rPr>
            </w:pPr>
            <w:r w:rsidRPr="008A1F6F">
              <w:rPr>
                <w:b/>
                <w:bCs/>
                <w:color w:val="000000" w:themeColor="text1"/>
                <w:sz w:val="18"/>
                <w:szCs w:val="18"/>
              </w:rPr>
              <w:t>JHU_IDD</w:t>
            </w:r>
            <w:r w:rsidRPr="008A1F6F">
              <w:rPr>
                <w:b/>
                <w:bCs/>
                <w:color w:val="000000" w:themeColor="text1"/>
                <w:sz w:val="18"/>
                <w:szCs w:val="18"/>
                <w:lang w:val="en-US"/>
              </w:rPr>
              <w:t>-</w:t>
            </w:r>
            <w:proofErr w:type="spellStart"/>
            <w:r w:rsidRPr="008A1F6F">
              <w:rPr>
                <w:b/>
                <w:bCs/>
                <w:color w:val="000000" w:themeColor="text1"/>
                <w:sz w:val="18"/>
                <w:szCs w:val="18"/>
                <w:lang w:val="en-US"/>
              </w:rPr>
              <w:t>flepiMoP</w:t>
            </w:r>
            <w:proofErr w:type="spellEnd"/>
            <w:r w:rsidRPr="008A1F6F">
              <w:rPr>
                <w:color w:val="000000" w:themeColor="text1"/>
                <w:sz w:val="18"/>
                <w:szCs w:val="18"/>
                <w:lang w:val="en-US"/>
              </w:rPr>
              <w:t xml:space="preserve"> </w:t>
            </w:r>
            <w:r>
              <w:rPr>
                <w:color w:val="000000" w:themeColor="text1"/>
                <w:sz w:val="18"/>
                <w:szCs w:val="18"/>
                <w:lang w:val="en-US"/>
              </w:rPr>
              <w:fldChar w:fldCharType="begin"/>
            </w:r>
            <w:r>
              <w:rPr>
                <w:color w:val="000000" w:themeColor="text1"/>
                <w:sz w:val="18"/>
                <w:szCs w:val="18"/>
                <w:lang w:val="en-US"/>
              </w:rPr>
              <w:instrText xml:space="preserve"> ADDIN ZOTERO_ITEM CSL_CITATION {"citationID":"GC63k8t1","properties":{"formattedCitation":"[1]","plainCitation":"[1]","noteIndex":0},"citationItems":[{"id":453,"uris":["http://zotero.org/users/13229387/items/LMLJJFRD"],"itemData":{"id":453,"type":"webpage","language":"en","title":"FLexible EPIdemic MOdeling Pipeline (flepiMoP)","URL":"https://iddynamics.gitbook.io/flepimop/","author":[{"family":"flepiMoP","given":""}],"accessed":{"date-parts":[["2024",1,26]]},"issued":{"date-parts":[["2023",10,1]]}}}],"schema":"https://github.com/citation-style-language/schema/raw/master/csl-citation.json"} </w:instrText>
            </w:r>
            <w:r>
              <w:rPr>
                <w:color w:val="000000" w:themeColor="text1"/>
                <w:sz w:val="18"/>
                <w:szCs w:val="18"/>
                <w:lang w:val="en-US"/>
              </w:rPr>
              <w:fldChar w:fldCharType="separate"/>
            </w:r>
            <w:r>
              <w:rPr>
                <w:noProof/>
                <w:color w:val="000000" w:themeColor="text1"/>
                <w:sz w:val="18"/>
                <w:szCs w:val="18"/>
                <w:lang w:val="en-US"/>
              </w:rPr>
              <w:t>[1]</w:t>
            </w:r>
            <w:r>
              <w:rPr>
                <w:color w:val="000000" w:themeColor="text1"/>
                <w:sz w:val="18"/>
                <w:szCs w:val="18"/>
                <w:lang w:val="en-US"/>
              </w:rPr>
              <w:fldChar w:fldCharType="end"/>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84FCB6A" w14:textId="698EEDD4"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MOBS-NEU-GLEAM_COVID</w:t>
            </w:r>
            <w:r w:rsidRPr="008A1F6F">
              <w:rPr>
                <w:color w:val="000000" w:themeColor="text1"/>
                <w:sz w:val="18"/>
                <w:szCs w:val="18"/>
                <w:lang w:val="en-US"/>
              </w:rPr>
              <w:t xml:space="preserve"> </w:t>
            </w:r>
            <w:r>
              <w:rPr>
                <w:color w:val="000000" w:themeColor="text1"/>
                <w:sz w:val="18"/>
                <w:szCs w:val="18"/>
                <w:lang w:val="en-US"/>
              </w:rPr>
              <w:fldChar w:fldCharType="begin"/>
            </w:r>
            <w:r>
              <w:rPr>
                <w:color w:val="000000" w:themeColor="text1"/>
                <w:sz w:val="18"/>
                <w:szCs w:val="18"/>
                <w:lang w:val="en-US"/>
              </w:rPr>
              <w:instrText xml:space="preserve"> ADDIN ZOTERO_ITEM CSL_CITATION {"citationID":"oj1gBZyI","properties":{"formattedCitation":"[2]","plainCitation":"[2]","noteIndex":0},"citationItems":[{"id":455,"uris":["http://zotero.org/users/13229387/items/MTL9EENX"],"itemData":{"id":455,"type":"article-journal","abstract":"Abstract\n            \n              Considerable uncertainty surrounds the timeline of introductions and onsets of local transmission of severe acute respiratory syndrome coronavirus 2 (SARS-CoV-2) globally\n              1–7\n              . Although a limited number of SARS-CoV-2 introductions were reported in January and February 2020 (refs.\n              8,9\n              ), the narrowness of the initial testing criteria, combined with a slow growth in testing capacity and porous travel screening\n              10\n              , left many countries vulnerable to unmitigated, cryptic transmission. Here we use a global metapopulation epidemic model to provide a mechanistic understanding of the early dispersal of infections and the temporal windows of the introduction of SARS-CoV-2 and onset of local transmission in Europe and the USA. We find that community transmission of SARS-CoV-2 was likely to have been present in several areas of Europe and the USA by January 2020, and estimate that by early March, only 1 to 4 in 100 SARS-CoV-2 infections were detected by surveillance systems. The modelling results highlight international travel as the key driver of the introduction of SARS-CoV-2, with possible introductions and transmission events as early as December 2019 to January 2020. We find a heterogeneous geographic distribution of cumulative infection attack rates by 4 July 2020, ranging from 0.78% to 15.2% across US states and 0.19% to 13.2% in European countries. Our approach complements phylogenetic analyses and other surveillance approaches and provides insights that can be used to design innovative, model-driven surveillance systems that guide enhanced testing and response strategies.","container-title":"Nature","DOI":"10.1038/s41586-021-04130-w","ISSN":"0028-0836, 1476-4687","issue":"7887","journalAbbreviation":"Nature","language":"en","page":"127-132","source":"DOI.org (Crossref)","title":"Cryptic transmission of SARS-CoV-2 and the first COVID-19 wave","volume":"600","author":[{"family":"Davis","given":"Jessica T."},{"family":"Chinazzi","given":"Matteo"},{"family":"Perra","given":"Nicola"},{"family":"Mu","given":"Kunpeng"},{"family":"Pastore Y Piontti","given":"Ana"},{"family":"Ajelli","given":"Marco"},{"family":"Dean","given":"Natalie E."},{"family":"Gioannini","given":"Corrado"},{"family":"Litvinova","given":"Maria"},{"family":"Merler","given":"Stefano"},{"family":"Rossi","given":"Luca"},{"family":"Sun","given":"Kaiyuan"},{"family":"Xiong","given":"Xinyue"},{"family":"Longini","given":"Ira M."},{"family":"Halloran","given":"M. Elizabeth"},{"family":"Viboud","given":"Cécile"},{"family":"Vespignani","given":"Alessandro"}],"issued":{"date-parts":[["2021",12,2]]}}}],"schema":"https://github.com/citation-style-language/schema/raw/master/csl-citation.json"} </w:instrText>
            </w:r>
            <w:r>
              <w:rPr>
                <w:color w:val="000000" w:themeColor="text1"/>
                <w:sz w:val="18"/>
                <w:szCs w:val="18"/>
                <w:lang w:val="en-US"/>
              </w:rPr>
              <w:fldChar w:fldCharType="separate"/>
            </w:r>
            <w:r>
              <w:rPr>
                <w:noProof/>
                <w:color w:val="000000" w:themeColor="text1"/>
                <w:sz w:val="18"/>
                <w:szCs w:val="18"/>
                <w:lang w:val="en-US"/>
              </w:rPr>
              <w:t>[2]</w:t>
            </w:r>
            <w:r>
              <w:rPr>
                <w:color w:val="000000" w:themeColor="text1"/>
                <w:sz w:val="18"/>
                <w:szCs w:val="18"/>
                <w:lang w:val="en-US"/>
              </w:rPr>
              <w:fldChar w:fldCharType="end"/>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83B5641" w14:textId="75314101"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NotreDame-FRED</w:t>
            </w:r>
            <w:r w:rsidRPr="008A1F6F">
              <w:rPr>
                <w:color w:val="000000" w:themeColor="text1"/>
                <w:sz w:val="18"/>
                <w:szCs w:val="18"/>
                <w:lang w:val="en-US"/>
              </w:rPr>
              <w:t xml:space="preserve"> </w:t>
            </w:r>
            <w:r>
              <w:rPr>
                <w:color w:val="000000" w:themeColor="text1"/>
                <w:sz w:val="18"/>
                <w:szCs w:val="18"/>
                <w:lang w:val="en-US"/>
              </w:rPr>
              <w:fldChar w:fldCharType="begin"/>
            </w:r>
            <w:r>
              <w:rPr>
                <w:color w:val="000000" w:themeColor="text1"/>
                <w:sz w:val="18"/>
                <w:szCs w:val="18"/>
                <w:lang w:val="en-US"/>
              </w:rPr>
              <w:instrText xml:space="preserve"> ADDIN ZOTERO_ITEM CSL_CITATION {"citationID":"JsgHvBV4","properties":{"formattedCitation":"[3]","plainCitation":"[3]","noteIndex":0},"citationItems":[{"id":461,"uris":["http://zotero.org/users/13229387/items/UMW3QGVG"],"itemData":{"id":461,"type":"article-journal","container-title":"Epidemics","DOI":"10.1016/j.epidem.2021.100487","ISSN":"17554365","journalAbbreviation":"Epidemics","language":"en","page":"100487","source":"DOI.org (Crossref)","title":"Impacts of K-12 school reopening on the COVID-19 epidemic in Indiana, USA","volume":"37","author":[{"family":"España","given":"Guido"},{"family":"Cavany","given":"Sean"},{"family":"Oidtman","given":"Rachel"},{"family":"Barbera","given":"Carly"},{"family":"Costello","given":"Alan"},{"family":"Lerch","given":"Anita"},{"family":"Poterek","given":"Marya"},{"family":"Tran","given":"Quan"},{"family":"Wieler","given":"Annaliese"},{"family":"Moore","given":"Sean"},{"family":"Perkins","given":"T. Alex"}],"issued":{"date-parts":[["2021",12]]}}}],"schema":"https://github.com/citation-style-language/schema/raw/master/csl-citation.json"} </w:instrText>
            </w:r>
            <w:r>
              <w:rPr>
                <w:color w:val="000000" w:themeColor="text1"/>
                <w:sz w:val="18"/>
                <w:szCs w:val="18"/>
                <w:lang w:val="en-US"/>
              </w:rPr>
              <w:fldChar w:fldCharType="separate"/>
            </w:r>
            <w:r>
              <w:rPr>
                <w:noProof/>
                <w:color w:val="000000" w:themeColor="text1"/>
                <w:sz w:val="18"/>
                <w:szCs w:val="18"/>
                <w:lang w:val="en-US"/>
              </w:rPr>
              <w:t>[3]</w:t>
            </w:r>
            <w:r>
              <w:rPr>
                <w:color w:val="000000" w:themeColor="text1"/>
                <w:sz w:val="18"/>
                <w:szCs w:val="18"/>
                <w:lang w:val="en-US"/>
              </w:rPr>
              <w:fldChar w:fldCharType="end"/>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768F706"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UNCC-hierbin</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0D95AF3"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USC-SIkJalpha</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D82F7D8" w14:textId="65213F0E" w:rsidR="00CB04DC" w:rsidRPr="008A1F6F" w:rsidRDefault="00CB04DC" w:rsidP="00691581">
            <w:pPr>
              <w:pStyle w:val="NormlWeb"/>
              <w:spacing w:before="0" w:beforeAutospacing="0" w:after="0" w:afterAutospacing="0"/>
              <w:rPr>
                <w:color w:val="000000" w:themeColor="text1"/>
                <w:lang w:val="en-US"/>
              </w:rPr>
            </w:pPr>
            <w:r w:rsidRPr="008A1F6F">
              <w:rPr>
                <w:b/>
                <w:bCs/>
                <w:color w:val="000000" w:themeColor="text1"/>
                <w:sz w:val="18"/>
                <w:szCs w:val="18"/>
              </w:rPr>
              <w:t>UTA-ImmunoSERIS</w:t>
            </w:r>
            <w:r w:rsidRPr="008A1F6F">
              <w:rPr>
                <w:b/>
                <w:bCs/>
                <w:color w:val="000000" w:themeColor="text1"/>
                <w:sz w:val="18"/>
                <w:szCs w:val="18"/>
                <w:lang w:val="en-US"/>
              </w:rPr>
              <w:t xml:space="preserve"> </w:t>
            </w:r>
            <w:r w:rsidRPr="008A1F6F">
              <w:rPr>
                <w:color w:val="000000" w:themeColor="text1"/>
                <w:sz w:val="18"/>
                <w:szCs w:val="18"/>
                <w:lang w:val="en-US"/>
              </w:rPr>
              <w:t xml:space="preserve"> </w:t>
            </w:r>
            <w:r>
              <w:rPr>
                <w:color w:val="000000" w:themeColor="text1"/>
                <w:sz w:val="18"/>
                <w:szCs w:val="18"/>
                <w:lang w:val="en-US"/>
              </w:rPr>
              <w:fldChar w:fldCharType="begin"/>
            </w:r>
            <w:r>
              <w:rPr>
                <w:color w:val="000000" w:themeColor="text1"/>
                <w:sz w:val="18"/>
                <w:szCs w:val="18"/>
                <w:lang w:val="en-US"/>
              </w:rPr>
              <w:instrText xml:space="preserve"> ADDIN ZOTERO_ITEM CSL_CITATION {"citationID":"TjHiYHRq","properties":{"formattedCitation":"[4]","plainCitation":"[4]","noteIndex":0},"citationItems":[{"id":457,"uris":["http://zotero.org/users/13229387/items/2MRFCDWF"],"itemData":{"id":457,"type":"report","abstract":"Abstract\n          Throughout the COVID-19 pandemic, changes in policy, shifts in behavior, and the emergence of new SARS-CoV-2 variants spurred multiple waves of transmission. Accurate assessments of the changing risks were vital for ensuring adequate healthcare capacity, designing mitigation strategies, and communicating effectively with the public. Here, we introduce a model of COVID-19 transmission and vaccination that provided rapid and reliable projections as the BA.1, BA.4 and BA.5 variants emerged and spread across the US. For example, our three-week ahead national projection of the early 2021 peak in COVID-19 hospitalizations was only one day later and 11.6-13.3% higher than the actual peak, while our projected peak in mortality was two days earlier and 0.22-4.7% higher than reported. We track population-level immunity from prior infections and vaccination in terms of the percent reduction in overall susceptibility relative to a completely naive population. As of October 1, 2022, we estimate that the US population had a 36.52% reduction in overall susceptibility to the BA.4/BA.5 variants, with 61.8%, 15.06%, and 23.54% of immunity attributable to infections, primary series vaccination, and booster vaccination, respectively. We retrospectively projected the potential impact of expanding booster coverage starting on July 15, 2022, and found that a five-fold increase in weekly boosting rates would have resulted in 70% of people over 65 vaccinated by Oct 10, 2022 and averted 25,000 (95% CI: 14,400-35,700) deaths during the BA.4/BA.5 surge. Our model provides coherent variables for tracking population-level immunity in the increasingly complex landscape of variants and vaccines and enables robust simulations of plausible scenarios for the emergence and mitigation of novel COVID variants.","genre":"preprint","language":"en","note":"DOI: 10.1101/2023.08.11.23293996","publisher":"Epidemiology","source":"DOI.org (Crossref)","title":"Projecting Omicron scenarios in the US while tracking population-level immunity","URL":"http://medrxiv.org/lookup/doi/10.1101/2023.08.11.23293996","author":[{"family":"Bouchnita","given":"Anass"},{"family":"Bi","given":"Kaiming"},{"family":"Fox","given":"Spencer"},{"family":"Meyers","given":"Lauren Ancel"}],"accessed":{"date-parts":[["2024",1,26]]},"issued":{"date-parts":[["2023",8,16]]}}}],"schema":"https://github.com/citation-style-language/schema/raw/master/csl-citation.json"} </w:instrText>
            </w:r>
            <w:r>
              <w:rPr>
                <w:color w:val="000000" w:themeColor="text1"/>
                <w:sz w:val="18"/>
                <w:szCs w:val="18"/>
                <w:lang w:val="en-US"/>
              </w:rPr>
              <w:fldChar w:fldCharType="separate"/>
            </w:r>
            <w:r>
              <w:rPr>
                <w:noProof/>
                <w:color w:val="000000" w:themeColor="text1"/>
                <w:sz w:val="18"/>
                <w:szCs w:val="18"/>
                <w:lang w:val="en-US"/>
              </w:rPr>
              <w:t>[4]</w:t>
            </w:r>
            <w:r>
              <w:rPr>
                <w:color w:val="000000" w:themeColor="text1"/>
                <w:sz w:val="18"/>
                <w:szCs w:val="18"/>
                <w:lang w:val="en-US"/>
              </w:rPr>
              <w:fldChar w:fldCharType="end"/>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46ACB99"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UVA-adaptive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01173EA"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UVA-EpiHiper</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898AED9" w14:textId="31BFEE5B" w:rsidR="00CB04DC" w:rsidRPr="008A1F6F" w:rsidRDefault="00CB04DC" w:rsidP="00691581">
            <w:pPr>
              <w:pStyle w:val="NormlWeb"/>
              <w:spacing w:before="0" w:beforeAutospacing="0" w:after="0" w:afterAutospacing="0"/>
              <w:rPr>
                <w:color w:val="000000" w:themeColor="text1"/>
                <w:lang w:val="en-US"/>
              </w:rPr>
            </w:pPr>
            <w:r w:rsidRPr="008A1F6F">
              <w:rPr>
                <w:b/>
                <w:bCs/>
                <w:color w:val="000000" w:themeColor="text1"/>
                <w:sz w:val="18"/>
                <w:szCs w:val="18"/>
              </w:rPr>
              <w:t>NCSU-COVSIM</w:t>
            </w:r>
            <w:r w:rsidRPr="008A1F6F">
              <w:rPr>
                <w:b/>
                <w:bCs/>
                <w:color w:val="000000" w:themeColor="text1"/>
                <w:sz w:val="18"/>
                <w:szCs w:val="18"/>
                <w:lang w:val="en-US"/>
              </w:rPr>
              <w:t xml:space="preserve"> </w:t>
            </w:r>
            <w:r w:rsidRPr="008A1F6F">
              <w:rPr>
                <w:color w:val="000000" w:themeColor="text1"/>
                <w:sz w:val="18"/>
                <w:szCs w:val="18"/>
                <w:lang w:val="en-US"/>
              </w:rPr>
              <w:t xml:space="preserve"> </w:t>
            </w:r>
            <w:r>
              <w:rPr>
                <w:color w:val="000000" w:themeColor="text1"/>
                <w:sz w:val="18"/>
                <w:szCs w:val="18"/>
                <w:lang w:val="en-US"/>
              </w:rPr>
              <w:fldChar w:fldCharType="begin"/>
            </w:r>
            <w:r>
              <w:rPr>
                <w:color w:val="000000" w:themeColor="text1"/>
                <w:sz w:val="18"/>
                <w:szCs w:val="18"/>
                <w:lang w:val="en-US"/>
              </w:rPr>
              <w:instrText xml:space="preserve"> ADDIN ZOTERO_ITEM CSL_CITATION {"citationID":"v5C4BdfU","properties":{"formattedCitation":"[5]","plainCitation":"[5]","noteIndex":0},"citationItems":[{"id":459,"uris":["http://zotero.org/users/13229387/items/QIZWYZW3"],"itemData":{"id":459,"type":"article-journal","container-title":"JAMA Network Open","DOI":"10.1001/jamanetworkopen.2021.10782","ISSN":"2574-3805","issue":"6","journalAbbreviation":"JAMA Netw Open","language":"en","page":"e2110782","source":"DOI.org (Crossref)","title":"Association of Simulated COVID-19 Vaccination and Nonpharmaceutical Interventions With Infections, Hospitalizations, and Mortality","volume":"4","author":[{"family":"Patel","given":"Mehul D."},{"family":"Rosenstrom","given":"Erik"},{"family":"Ivy","given":"Julie S."},{"family":"Mayorga","given":"Maria E."},{"family":"Keskinocak","given":"Pinar"},{"family":"Boyce","given":"Ross M."},{"family":"Hassmiller Lich","given":"Kristen"},{"family":"Smith","given":"Raymond L."},{"family":"Johnson","given":"Karl T."},{"family":"Delamater","given":"Paul L."},{"family":"Swann","given":"Julie L."}],"issued":{"date-parts":[["2021",6,1]]}}}],"schema":"https://github.com/citation-style-language/schema/raw/master/csl-citation.json"} </w:instrText>
            </w:r>
            <w:r>
              <w:rPr>
                <w:color w:val="000000" w:themeColor="text1"/>
                <w:sz w:val="18"/>
                <w:szCs w:val="18"/>
                <w:lang w:val="en-US"/>
              </w:rPr>
              <w:fldChar w:fldCharType="separate"/>
            </w:r>
            <w:r>
              <w:rPr>
                <w:noProof/>
                <w:color w:val="000000" w:themeColor="text1"/>
                <w:sz w:val="18"/>
                <w:szCs w:val="18"/>
                <w:lang w:val="en-US"/>
              </w:rPr>
              <w:t>[5]</w:t>
            </w:r>
            <w:r>
              <w:rPr>
                <w:color w:val="000000" w:themeColor="text1"/>
                <w:sz w:val="18"/>
                <w:szCs w:val="18"/>
                <w:lang w:val="en-US"/>
              </w:rPr>
              <w:fldChar w:fldCharType="end"/>
            </w:r>
          </w:p>
        </w:tc>
      </w:tr>
      <w:tr w:rsidR="00CB04DC" w:rsidRPr="008A1F6F" w14:paraId="7154E3EB"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43EBD9A0"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Model type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A08B4BA"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Meta-population compartmental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B0A291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Meta-population compartmental</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FD782A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Agent-based</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9BBB042"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Non-mechanistic deep learning</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065B648"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Compartmental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90ECDFC"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Meta-population compartmental</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801109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Meta-population compartmental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BE74F9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Agent-based</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3E55E05"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Agent-based</w:t>
            </w:r>
          </w:p>
        </w:tc>
      </w:tr>
      <w:tr w:rsidR="00CB04DC" w:rsidRPr="008A1F6F" w14:paraId="6C67D523"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60B8A31C"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Geography</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656430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State level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6559BC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County level</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D45613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State level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9AFE2A8"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State level</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B97392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State level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37832C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State level</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541038A"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State level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A3199A8"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Individual level</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BE0714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North Carolina</w:t>
            </w:r>
          </w:p>
        </w:tc>
      </w:tr>
      <w:tr w:rsidR="00CB04DC" w:rsidRPr="008A1F6F" w14:paraId="3CEF927F"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668A037"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Age structure (age groups)</w:t>
            </w:r>
          </w:p>
          <w:p w14:paraId="56D74B99" w14:textId="77777777" w:rsidR="00CB04DC" w:rsidRPr="008A1F6F" w:rsidRDefault="00CB04DC" w:rsidP="00691581">
            <w:pPr>
              <w:rPr>
                <w:color w:val="000000" w:themeColor="text1"/>
              </w:rPr>
            </w:pP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C7C22D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3 (0-17, 18-54, 65+)</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1509DE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10 (0-9, 10-19, 20-24, 25-29, 30-39, 40-49, 50-59, 60-69, 70-79, 80+)</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CC6183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Individual ages</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69C7890"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BC9D9C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5 (0-4, 5-11, 12-17, 18-64, 65+)</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9B52467"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 (0-4, 5-11, 12-18, 19-49, 50-64, 65+)</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5424D3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B995A5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Individual ages</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0" w:type="dxa"/>
              <w:bottom w:w="40" w:type="dxa"/>
              <w:right w:w="0" w:type="dxa"/>
            </w:tcMar>
            <w:vAlign w:val="center"/>
            <w:hideMark/>
          </w:tcPr>
          <w:p w14:paraId="652AFB17"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5 (0-4, 5-9, 10-19, 20-64, 65+)</w:t>
            </w:r>
          </w:p>
        </w:tc>
      </w:tr>
      <w:tr w:rsidR="00CB04DC" w:rsidRPr="008A1F6F" w14:paraId="077FC6D4"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DD3F69D"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Other demographic structure</w:t>
            </w:r>
          </w:p>
          <w:p w14:paraId="57A8D520" w14:textId="77777777" w:rsidR="00CB04DC" w:rsidRPr="008A1F6F" w:rsidRDefault="00CB04DC" w:rsidP="00691581">
            <w:pPr>
              <w:rPr>
                <w:color w:val="000000" w:themeColor="text1"/>
              </w:rPr>
            </w:pP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30522A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70EA44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7C1023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27E372C"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F1741E5"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A47966E"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762C230"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2C0AF8A"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0" w:type="dxa"/>
              <w:bottom w:w="40" w:type="dxa"/>
              <w:right w:w="0" w:type="dxa"/>
            </w:tcMar>
            <w:vAlign w:val="center"/>
            <w:hideMark/>
          </w:tcPr>
          <w:p w14:paraId="551AFD9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Individual with diabetes, race/ethncity </w:t>
            </w:r>
          </w:p>
        </w:tc>
      </w:tr>
      <w:tr w:rsidR="00CB04DC" w:rsidRPr="008A1F6F" w14:paraId="3DE150D3"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BFB6A3D"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Mobility &amp; Contact patterns</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7277AFC"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Commuting</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0A5BA57"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Google mobility, commuting, flight, age contact matrices</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0EA563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Google mobility</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8F9BE03"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FFB70FA"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Cubiq contact index</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C29F247"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0403DE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B936B8E"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Commuting, Natonal Household Travel survey</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0" w:type="dxa"/>
              <w:bottom w:w="40" w:type="dxa"/>
              <w:right w:w="0" w:type="dxa"/>
            </w:tcMar>
            <w:vAlign w:val="center"/>
            <w:hideMark/>
          </w:tcPr>
          <w:p w14:paraId="61921FF8"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Contacts based on Census data</w:t>
            </w:r>
          </w:p>
        </w:tc>
      </w:tr>
      <w:tr w:rsidR="00CB04DC" w:rsidRPr="008A1F6F" w14:paraId="14185497"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7E67F6E"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Annual antigenic drift </w:t>
            </w:r>
          </w:p>
        </w:tc>
        <w:tc>
          <w:tcPr>
            <w:tcW w:w="1246" w:type="dxa"/>
            <w:tcBorders>
              <w:top w:val="single" w:sz="6" w:space="0" w:color="1F1F1F"/>
              <w:left w:val="single" w:sz="6" w:space="0" w:color="1F1F1F"/>
              <w:bottom w:val="single" w:sz="6" w:space="0" w:color="000000"/>
              <w:right w:val="single" w:sz="6" w:space="0" w:color="1F1F1F"/>
            </w:tcBorders>
            <w:shd w:val="clear" w:color="auto" w:fill="FFFFFF"/>
            <w:tcMar>
              <w:top w:w="40" w:type="dxa"/>
              <w:left w:w="40" w:type="dxa"/>
              <w:bottom w:w="40" w:type="dxa"/>
              <w:right w:w="40" w:type="dxa"/>
            </w:tcMar>
            <w:vAlign w:val="center"/>
            <w:hideMark/>
          </w:tcPr>
          <w:p w14:paraId="30B34B18"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954B108"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1186D8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12EA3EA"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Linear</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5533A21"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4E9A99A"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31C59D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1AEEE8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F01D36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Linear</w:t>
            </w:r>
          </w:p>
        </w:tc>
      </w:tr>
      <w:tr w:rsidR="00CB04DC" w:rsidRPr="008A1F6F" w14:paraId="438C66B6" w14:textId="77777777" w:rsidTr="00691581">
        <w:tc>
          <w:tcPr>
            <w:tcW w:w="1723" w:type="dxa"/>
            <w:tcBorders>
              <w:top w:val="single" w:sz="6" w:space="0" w:color="1F1F1F"/>
              <w:left w:val="single" w:sz="6" w:space="0" w:color="1F1F1F"/>
              <w:bottom w:val="single" w:sz="6" w:space="0" w:color="1F1F1F"/>
              <w:right w:val="single" w:sz="6" w:space="0" w:color="000000"/>
            </w:tcBorders>
            <w:shd w:val="clear" w:color="auto" w:fill="auto"/>
            <w:tcMar>
              <w:top w:w="40" w:type="dxa"/>
              <w:left w:w="40" w:type="dxa"/>
              <w:bottom w:w="40" w:type="dxa"/>
              <w:right w:w="40" w:type="dxa"/>
            </w:tcMar>
            <w:vAlign w:val="center"/>
            <w:hideMark/>
          </w:tcPr>
          <w:p w14:paraId="0471D87C"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Vaccine effectiveness  against infection</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hideMark/>
          </w:tcPr>
          <w:p w14:paraId="1E8AC64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lang w:val="en-US"/>
              </w:rPr>
              <w:t>65</w:t>
            </w:r>
            <w:r w:rsidRPr="008A1F6F">
              <w:rPr>
                <w:color w:val="000000" w:themeColor="text1"/>
                <w:sz w:val="18"/>
                <w:szCs w:val="18"/>
              </w:rPr>
              <w:t>%</w:t>
            </w:r>
          </w:p>
        </w:tc>
        <w:tc>
          <w:tcPr>
            <w:tcW w:w="1247" w:type="dxa"/>
            <w:tcBorders>
              <w:top w:val="single" w:sz="6" w:space="0" w:color="1F1F1F"/>
              <w:left w:val="single" w:sz="6" w:space="0" w:color="000000"/>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4CE5FC65"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c>
          <w:tcPr>
            <w:tcW w:w="1246"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2E107DA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c>
          <w:tcPr>
            <w:tcW w:w="1247"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49B1CDD4"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65%</w:t>
            </w:r>
          </w:p>
        </w:tc>
        <w:tc>
          <w:tcPr>
            <w:tcW w:w="1246"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45322D8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c>
          <w:tcPr>
            <w:tcW w:w="1247"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3108B8D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c>
          <w:tcPr>
            <w:tcW w:w="1246"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36A8813A"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c>
          <w:tcPr>
            <w:tcW w:w="1247"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79725579" w14:textId="77777777" w:rsidR="00CB04DC" w:rsidRPr="008A1F6F" w:rsidRDefault="00CB04DC" w:rsidP="00691581">
            <w:pPr>
              <w:pStyle w:val="NormlWeb"/>
              <w:spacing w:before="0" w:beforeAutospacing="0" w:after="0" w:afterAutospacing="0"/>
              <w:rPr>
                <w:color w:val="000000" w:themeColor="text1"/>
                <w:lang w:val="en-US"/>
              </w:rPr>
            </w:pPr>
            <w:r w:rsidRPr="008A1F6F">
              <w:rPr>
                <w:color w:val="000000" w:themeColor="text1"/>
                <w:sz w:val="18"/>
                <w:szCs w:val="18"/>
                <w:lang w:val="en-US"/>
              </w:rPr>
              <w:t>None (while vaccine effectiveness against symptomatic infection exists)</w:t>
            </w:r>
          </w:p>
        </w:tc>
        <w:tc>
          <w:tcPr>
            <w:tcW w:w="1247" w:type="dxa"/>
            <w:tcBorders>
              <w:top w:val="single" w:sz="6" w:space="0" w:color="1F1F1F"/>
              <w:left w:val="single" w:sz="6" w:space="0" w:color="1F1F1F"/>
              <w:bottom w:val="single" w:sz="6" w:space="0" w:color="1F1F1F"/>
              <w:right w:val="single" w:sz="6" w:space="0" w:color="1F1F1F"/>
            </w:tcBorders>
            <w:shd w:val="clear" w:color="auto" w:fill="auto"/>
            <w:tcMar>
              <w:top w:w="40" w:type="dxa"/>
              <w:left w:w="40" w:type="dxa"/>
              <w:bottom w:w="40" w:type="dxa"/>
              <w:right w:w="40" w:type="dxa"/>
            </w:tcMar>
            <w:vAlign w:val="center"/>
            <w:hideMark/>
          </w:tcPr>
          <w:p w14:paraId="3246072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r>
      <w:tr w:rsidR="00CB04DC" w:rsidRPr="008A1F6F" w14:paraId="3F09190D" w14:textId="77777777" w:rsidTr="00691581">
        <w:tc>
          <w:tcPr>
            <w:tcW w:w="1723"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7C4D3944"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Vaccine effectiveness against hospitalization</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99AEE2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lang w:val="en-US"/>
              </w:rPr>
              <w:t>83</w:t>
            </w:r>
            <w:r w:rsidRPr="008A1F6F">
              <w:rPr>
                <w:color w:val="000000" w:themeColor="text1"/>
                <w:sz w:val="18"/>
                <w:szCs w:val="18"/>
              </w:rPr>
              <w:t>%</w:t>
            </w:r>
          </w:p>
        </w:tc>
        <w:tc>
          <w:tcPr>
            <w:tcW w:w="1247" w:type="dxa"/>
            <w:tcBorders>
              <w:top w:val="single" w:sz="6" w:space="0" w:color="1F1F1F"/>
              <w:left w:val="single" w:sz="6" w:space="0" w:color="000000"/>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7AEF8CE"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66%-80%</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E8BB7D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90%</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119D954"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65%</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7B333E5"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Varying depending on past immune status</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0DAC3DD"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398CFCD"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Varying depending on past immune status</w:t>
            </w:r>
          </w:p>
        </w:tc>
        <w:tc>
          <w:tcPr>
            <w:tcW w:w="1247" w:type="dxa"/>
            <w:tcBorders>
              <w:top w:val="single" w:sz="6" w:space="0" w:color="1F1F1F"/>
              <w:left w:val="single" w:sz="6" w:space="0" w:color="1F1F1F"/>
              <w:bottom w:val="single" w:sz="6" w:space="0" w:color="000000"/>
              <w:right w:val="single" w:sz="6" w:space="0" w:color="1F1F1F"/>
            </w:tcBorders>
            <w:shd w:val="clear" w:color="auto" w:fill="FFFFFF"/>
            <w:tcMar>
              <w:top w:w="40" w:type="dxa"/>
              <w:left w:w="40" w:type="dxa"/>
              <w:bottom w:w="40" w:type="dxa"/>
              <w:right w:w="40" w:type="dxa"/>
            </w:tcMar>
            <w:vAlign w:val="center"/>
            <w:hideMark/>
          </w:tcPr>
          <w:p w14:paraId="3868AF2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65%</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313860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80-90%</w:t>
            </w:r>
          </w:p>
        </w:tc>
      </w:tr>
      <w:tr w:rsidR="00CB04DC" w:rsidRPr="008A1F6F" w14:paraId="74E24481" w14:textId="77777777" w:rsidTr="00691581">
        <w:tc>
          <w:tcPr>
            <w:tcW w:w="1723"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5B12DA24"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Waning of natural immunity</w:t>
            </w:r>
          </w:p>
        </w:tc>
        <w:tc>
          <w:tcPr>
            <w:tcW w:w="1246" w:type="dxa"/>
            <w:tcBorders>
              <w:top w:val="single" w:sz="6" w:space="0" w:color="000000"/>
              <w:left w:val="single" w:sz="6" w:space="0" w:color="000000"/>
              <w:bottom w:val="single" w:sz="6" w:space="0" w:color="000000"/>
              <w:right w:val="single" w:sz="6" w:space="0" w:color="1F1F1F"/>
            </w:tcBorders>
            <w:shd w:val="clear" w:color="auto" w:fill="FFFFFF"/>
            <w:tcMar>
              <w:top w:w="40" w:type="dxa"/>
              <w:left w:w="40" w:type="dxa"/>
              <w:bottom w:w="40" w:type="dxa"/>
              <w:right w:w="40" w:type="dxa"/>
            </w:tcMar>
            <w:vAlign w:val="center"/>
            <w:hideMark/>
          </w:tcPr>
          <w:p w14:paraId="7D478FC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 xml:space="preserve">Leaky, fitted </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D6403C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assumed (gamma distributed with 3-6-month average time)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0F11F7D"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fitted</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D51DB78"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Leaky, assumed (exponential with 6-month average time)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85D7B5C"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assumed (gamma distributed with 2.5-4-month average time)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552607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All-or-nothing, assumed (exponential with 8-month average time)</w:t>
            </w:r>
          </w:p>
        </w:tc>
        <w:tc>
          <w:tcPr>
            <w:tcW w:w="1246"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044CCD7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assumed (exponential with 4-month average time)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17231B5"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 (exponential with 3-month median waning time)</w:t>
            </w:r>
          </w:p>
        </w:tc>
        <w:tc>
          <w:tcPr>
            <w:tcW w:w="1247" w:type="dxa"/>
            <w:tcBorders>
              <w:top w:val="single" w:sz="6" w:space="0" w:color="1F1F1F"/>
              <w:left w:val="single" w:sz="6" w:space="0" w:color="000000"/>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4E9B56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All-or-nothing, assumed (exponential with 5-month average time)</w:t>
            </w:r>
          </w:p>
        </w:tc>
      </w:tr>
      <w:tr w:rsidR="00CB04DC" w:rsidRPr="008A1F6F" w14:paraId="2D8D05CB" w14:textId="77777777" w:rsidTr="00691581">
        <w:tc>
          <w:tcPr>
            <w:tcW w:w="1723"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276AF942"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lastRenderedPageBreak/>
              <w:t>Waning of vaccine immunityinfection</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DE91E23" w14:textId="77777777" w:rsidR="00CB04DC" w:rsidRPr="008A1F6F" w:rsidRDefault="00CB04DC" w:rsidP="00691581">
            <w:pPr>
              <w:pStyle w:val="NormlWeb"/>
              <w:spacing w:before="0" w:beforeAutospacing="0" w:after="0" w:afterAutospacing="0"/>
              <w:rPr>
                <w:color w:val="000000" w:themeColor="text1"/>
                <w:lang w:val="en-US" w:eastAsia="ko-KR"/>
              </w:rPr>
            </w:pPr>
            <w:r w:rsidRPr="008A1F6F">
              <w:rPr>
                <w:color w:val="000000" w:themeColor="text1"/>
                <w:sz w:val="18"/>
                <w:szCs w:val="18"/>
              </w:rPr>
              <w:t>Leaky, fitted</w:t>
            </w:r>
          </w:p>
        </w:tc>
        <w:tc>
          <w:tcPr>
            <w:tcW w:w="1247" w:type="dxa"/>
            <w:tcBorders>
              <w:top w:val="single" w:sz="6" w:space="0" w:color="1F1F1F"/>
              <w:left w:val="single" w:sz="6" w:space="0" w:color="000000"/>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335F14C"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assumed (gamma distributed with 2-4-month average time)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776962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fitted</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B6B09B9"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Leaky, assumed (exponential with 6-month average time)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460C77D"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assumed (gamma distributed with 2.5-4-month average time)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FD1D29D"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All-or-nothing, assumed (exponential with 6-month average time)</w:t>
            </w:r>
          </w:p>
        </w:tc>
        <w:tc>
          <w:tcPr>
            <w:tcW w:w="1246"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3F89A07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assumed (exponential with 4-month average time)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DDD9707"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Leaky, assume (exponential with 6-month median waning time)</w:t>
            </w:r>
          </w:p>
        </w:tc>
        <w:tc>
          <w:tcPr>
            <w:tcW w:w="1247" w:type="dxa"/>
            <w:tcBorders>
              <w:top w:val="single" w:sz="6" w:space="0" w:color="1F1F1F"/>
              <w:left w:val="single" w:sz="6" w:space="0" w:color="000000"/>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8F797F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All-or-nothing, assumed (exponential with 5-month average time)</w:t>
            </w:r>
          </w:p>
        </w:tc>
      </w:tr>
      <w:tr w:rsidR="00CB04DC" w:rsidRPr="008A1F6F" w14:paraId="3AF8730F"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623FF49"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Boosting effect from multiple infection</w:t>
            </w:r>
          </w:p>
        </w:tc>
        <w:tc>
          <w:tcPr>
            <w:tcW w:w="1246" w:type="dxa"/>
            <w:tcBorders>
              <w:top w:val="single" w:sz="6" w:space="0" w:color="000000"/>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E05526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D3662A7"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A736D9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9413524"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5A091C0"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C044D4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7C14ED5C"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9E2E38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000000"/>
              <w:bottom w:val="single" w:sz="6" w:space="0" w:color="000000"/>
              <w:right w:val="single" w:sz="6" w:space="0" w:color="1F1F1F"/>
            </w:tcBorders>
            <w:shd w:val="clear" w:color="auto" w:fill="FFFFFF"/>
            <w:tcMar>
              <w:top w:w="40" w:type="dxa"/>
              <w:left w:w="40" w:type="dxa"/>
              <w:bottom w:w="40" w:type="dxa"/>
              <w:right w:w="40" w:type="dxa"/>
            </w:tcMar>
            <w:vAlign w:val="center"/>
            <w:hideMark/>
          </w:tcPr>
          <w:p w14:paraId="203F645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r>
      <w:tr w:rsidR="00CB04DC" w:rsidRPr="008A1F6F" w14:paraId="5259E1C3"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862D50C"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Immune escape</w:t>
            </w:r>
          </w:p>
          <w:p w14:paraId="32941BF4" w14:textId="77777777" w:rsidR="00CB04DC" w:rsidRPr="008A1F6F" w:rsidRDefault="00CB04DC" w:rsidP="00691581">
            <w:pPr>
              <w:rPr>
                <w:color w:val="000000" w:themeColor="text1"/>
              </w:rPr>
            </w:pP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7013D5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affects all protective effectiveness</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59C6EA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affects waning time of immunity</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D4CFFE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only affects protective effectiveness against infection and symptomatic infection</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E027D49"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Immune escape only affects protective effectiveness against symptomatic infection</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08D4C15"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only affects protective effectiveness against infection</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7ACB77D"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affects all preexisted immunity</w:t>
            </w:r>
          </w:p>
        </w:tc>
        <w:tc>
          <w:tcPr>
            <w:tcW w:w="1246"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38082BF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affects all protective effectiveness</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C8BC92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affects all protective effectiveness</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9B07A8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Immune escape only affects protective effectiveness against infection and symptomatic infection</w:t>
            </w:r>
          </w:p>
        </w:tc>
      </w:tr>
      <w:tr w:rsidR="00CB04DC" w:rsidRPr="008A1F6F" w14:paraId="3825DA98"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D36E9AD"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Seasonality</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EAF8B02"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Fitted with dynamics from 2020-2023 (varied by state)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F749A8D"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Fitted with dynamics from 2020-2023 (varied by state)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4759F05C"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Modeled with indoor contact rates</w:t>
            </w:r>
          </w:p>
          <w:p w14:paraId="6066CAC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(varied by state)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0" w:type="dxa"/>
              <w:bottom w:w="40" w:type="dxa"/>
              <w:right w:w="0" w:type="dxa"/>
            </w:tcMar>
            <w:vAlign w:val="center"/>
            <w:hideMark/>
          </w:tcPr>
          <w:p w14:paraId="627EB1A0"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Fitted with epidemics dynamics from 2020-2023 (varied by state)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17125D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Modeled with 2021 cubiq contact data (same across all states)</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CC54CFF"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Modeled with date variation (same across all state)</w:t>
            </w:r>
          </w:p>
        </w:tc>
        <w:tc>
          <w:tcPr>
            <w:tcW w:w="1246"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1827ACB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Fitted with dynamics from 2020-2021 (same across all state)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519359B"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Modeled as a Cosine function (same across all states)</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32A4855"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 xml:space="preserve">Fitted with dynamics from 2020 - 2023 </w:t>
            </w:r>
            <w:r w:rsidRPr="008A1F6F">
              <w:rPr>
                <w:color w:val="000000" w:themeColor="text1"/>
                <w:sz w:val="18"/>
                <w:szCs w:val="18"/>
                <w:lang w:val="en-US"/>
              </w:rPr>
              <w:t>in</w:t>
            </w:r>
            <w:r w:rsidRPr="008A1F6F">
              <w:rPr>
                <w:color w:val="000000" w:themeColor="text1"/>
                <w:sz w:val="18"/>
                <w:szCs w:val="18"/>
              </w:rPr>
              <w:t xml:space="preserve"> North Carolina</w:t>
            </w:r>
          </w:p>
        </w:tc>
      </w:tr>
      <w:tr w:rsidR="00CB04DC" w:rsidRPr="008A1F6F" w14:paraId="35F74FD6"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F3FBA7C"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Peak timing of Seasonality (month)</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AE1E28A"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November-January</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76BCAA8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January</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EE6507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December</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4A995DC"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January-Feburary, depending on state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8E6EE58"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December- January (April-June depending on the scenario and state)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E525C24"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December- January (summer for children in school)</w:t>
            </w:r>
          </w:p>
        </w:tc>
        <w:tc>
          <w:tcPr>
            <w:tcW w:w="1246" w:type="dxa"/>
            <w:tcBorders>
              <w:top w:val="single" w:sz="6" w:space="0" w:color="1F1F1F"/>
              <w:left w:val="single" w:sz="6" w:space="0" w:color="1F1F1F"/>
              <w:bottom w:val="single" w:sz="6" w:space="0" w:color="1F1F1F"/>
              <w:right w:val="single" w:sz="6" w:space="0" w:color="000000"/>
            </w:tcBorders>
            <w:shd w:val="clear" w:color="auto" w:fill="FFFFFF"/>
            <w:tcMar>
              <w:top w:w="40" w:type="dxa"/>
              <w:left w:w="40" w:type="dxa"/>
              <w:bottom w:w="40" w:type="dxa"/>
              <w:right w:w="40" w:type="dxa"/>
            </w:tcMar>
            <w:vAlign w:val="center"/>
            <w:hideMark/>
          </w:tcPr>
          <w:p w14:paraId="68A5B76E"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December- January</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87AD599"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January</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B6111DE"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October-December</w:t>
            </w:r>
          </w:p>
        </w:tc>
      </w:tr>
      <w:tr w:rsidR="00CB04DC" w:rsidRPr="008A1F6F" w14:paraId="1F95059E" w14:textId="77777777" w:rsidTr="00691581">
        <w:tc>
          <w:tcPr>
            <w:tcW w:w="1723"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BBE8494" w14:textId="77777777" w:rsidR="00CB04DC" w:rsidRPr="008A1F6F" w:rsidRDefault="00CB04DC" w:rsidP="00691581">
            <w:pPr>
              <w:pStyle w:val="NormlWeb"/>
              <w:spacing w:before="0" w:beforeAutospacing="0" w:after="0" w:afterAutospacing="0"/>
              <w:rPr>
                <w:color w:val="000000" w:themeColor="text1"/>
              </w:rPr>
            </w:pPr>
            <w:r w:rsidRPr="008A1F6F">
              <w:rPr>
                <w:b/>
                <w:bCs/>
                <w:color w:val="000000" w:themeColor="text1"/>
                <w:sz w:val="18"/>
                <w:szCs w:val="18"/>
              </w:rPr>
              <w:t>Importations </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06F118AE"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A4C88E0"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52BE606"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50243631" w14:textId="77777777" w:rsidR="00CB04DC" w:rsidRPr="008A1F6F" w:rsidRDefault="00CB04DC" w:rsidP="00691581">
            <w:pPr>
              <w:pStyle w:val="NormlWeb"/>
              <w:spacing w:before="0" w:beforeAutospacing="0" w:after="0" w:afterAutospacing="0"/>
              <w:rPr>
                <w:color w:val="000000" w:themeColor="text1"/>
                <w:sz w:val="18"/>
                <w:szCs w:val="18"/>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83FD09E"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6332F691"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6" w:type="dxa"/>
            <w:tcBorders>
              <w:top w:val="single" w:sz="6" w:space="0" w:color="1F1F1F"/>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352A0938"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000000"/>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28B07C71"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c>
          <w:tcPr>
            <w:tcW w:w="1247" w:type="dxa"/>
            <w:tcBorders>
              <w:top w:val="single" w:sz="6" w:space="0" w:color="000000"/>
              <w:left w:val="single" w:sz="6" w:space="0" w:color="1F1F1F"/>
              <w:bottom w:val="single" w:sz="6" w:space="0" w:color="1F1F1F"/>
              <w:right w:val="single" w:sz="6" w:space="0" w:color="1F1F1F"/>
            </w:tcBorders>
            <w:shd w:val="clear" w:color="auto" w:fill="FFFFFF"/>
            <w:tcMar>
              <w:top w:w="40" w:type="dxa"/>
              <w:left w:w="40" w:type="dxa"/>
              <w:bottom w:w="40" w:type="dxa"/>
              <w:right w:w="40" w:type="dxa"/>
            </w:tcMar>
            <w:vAlign w:val="center"/>
            <w:hideMark/>
          </w:tcPr>
          <w:p w14:paraId="15A2BF63" w14:textId="77777777" w:rsidR="00CB04DC" w:rsidRPr="008A1F6F" w:rsidRDefault="00CB04DC" w:rsidP="00691581">
            <w:pPr>
              <w:pStyle w:val="NormlWeb"/>
              <w:spacing w:before="0" w:beforeAutospacing="0" w:after="0" w:afterAutospacing="0"/>
              <w:rPr>
                <w:color w:val="000000" w:themeColor="text1"/>
              </w:rPr>
            </w:pPr>
            <w:r w:rsidRPr="008A1F6F">
              <w:rPr>
                <w:color w:val="000000" w:themeColor="text1"/>
                <w:sz w:val="18"/>
                <w:szCs w:val="18"/>
              </w:rPr>
              <w:t>None</w:t>
            </w:r>
          </w:p>
        </w:tc>
      </w:tr>
    </w:tbl>
    <w:p w14:paraId="65C579EF" w14:textId="77777777" w:rsidR="00CB04DC" w:rsidRDefault="00CB04DC" w:rsidP="00CB04DC">
      <w:pPr>
        <w:rPr>
          <w:color w:val="000000" w:themeColor="text1"/>
          <w:lang w:val="en-US" w:eastAsia="en-US"/>
        </w:rPr>
        <w:sectPr w:rsidR="00CB04DC" w:rsidSect="00D72BD9">
          <w:pgSz w:w="15840" w:h="12240" w:orient="landscape"/>
          <w:pgMar w:top="1440" w:right="1440" w:bottom="1440" w:left="1440" w:header="708" w:footer="708" w:gutter="0"/>
          <w:cols w:space="708"/>
          <w:docGrid w:linePitch="360"/>
        </w:sectPr>
      </w:pPr>
    </w:p>
    <w:p w14:paraId="459FFCC4" w14:textId="77777777" w:rsidR="00CB04DC" w:rsidRPr="008A1F6F" w:rsidRDefault="00CB04DC" w:rsidP="00CB04DC">
      <w:pPr>
        <w:rPr>
          <w:b/>
          <w:color w:val="000000" w:themeColor="text1"/>
          <w:sz w:val="28"/>
          <w:szCs w:val="28"/>
          <w:lang w:val="en-US"/>
        </w:rPr>
      </w:pPr>
    </w:p>
    <w:p w14:paraId="25B0BADB" w14:textId="77777777" w:rsidR="00CB04DC" w:rsidRPr="008A1F6F" w:rsidRDefault="00CB04DC" w:rsidP="00CB04DC">
      <w:pPr>
        <w:rPr>
          <w:b/>
          <w:color w:val="000000" w:themeColor="text1"/>
          <w:sz w:val="28"/>
          <w:szCs w:val="28"/>
        </w:rPr>
      </w:pPr>
      <w:r w:rsidRPr="008A1F6F">
        <w:rPr>
          <w:b/>
          <w:color w:val="000000" w:themeColor="text1"/>
          <w:sz w:val="28"/>
          <w:szCs w:val="28"/>
        </w:rPr>
        <w:t>References</w:t>
      </w:r>
    </w:p>
    <w:p w14:paraId="6066ABEF" w14:textId="77777777" w:rsidR="00CB04DC" w:rsidRPr="00CB04DC" w:rsidRDefault="00CB04DC" w:rsidP="00CB04DC">
      <w:pPr>
        <w:pStyle w:val="Irodalomjegyzk"/>
        <w:rPr>
          <w:color w:val="000000"/>
          <w:lang w:val="en-US"/>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CB04DC">
        <w:rPr>
          <w:color w:val="000000"/>
          <w:lang w:val="en-US"/>
        </w:rPr>
        <w:t xml:space="preserve">1. </w:t>
      </w:r>
      <w:r w:rsidRPr="00CB04DC">
        <w:rPr>
          <w:color w:val="000000"/>
          <w:lang w:val="en-US"/>
        </w:rPr>
        <w:tab/>
        <w:t>flepiMoP. FLexible EPIdemic MOdeling Pipeline (flepiMoP). 1 Oct 2023 [cited 26 Jan 2024]. Available: https://iddynamics.gitbook.io/flepimop/</w:t>
      </w:r>
    </w:p>
    <w:p w14:paraId="5DDED414" w14:textId="77777777" w:rsidR="00CB04DC" w:rsidRPr="00CB04DC" w:rsidRDefault="00CB04DC" w:rsidP="00CB04DC">
      <w:pPr>
        <w:pStyle w:val="Irodalomjegyzk"/>
        <w:rPr>
          <w:color w:val="000000"/>
          <w:lang w:val="en-US"/>
        </w:rPr>
      </w:pPr>
      <w:r w:rsidRPr="00CB04DC">
        <w:rPr>
          <w:color w:val="000000"/>
          <w:lang w:val="en-US"/>
        </w:rPr>
        <w:t xml:space="preserve">2. </w:t>
      </w:r>
      <w:r w:rsidRPr="00CB04DC">
        <w:rPr>
          <w:color w:val="000000"/>
          <w:lang w:val="en-US"/>
        </w:rPr>
        <w:tab/>
        <w:t>Davis JT, Chinazzi M, Perra N, Mu K, Pastore Y Piontti A, Ajelli M, et al. Cryptic transmission of SARS-CoV-2 and the first COVID-19 wave. Nature. 2021;600: 127–132. doi:10.1038/s41586-021-04130-w</w:t>
      </w:r>
    </w:p>
    <w:p w14:paraId="487ADE74" w14:textId="77777777" w:rsidR="00CB04DC" w:rsidRPr="00CB04DC" w:rsidRDefault="00CB04DC" w:rsidP="00CB04DC">
      <w:pPr>
        <w:pStyle w:val="Irodalomjegyzk"/>
        <w:rPr>
          <w:color w:val="000000"/>
          <w:lang w:val="en-US"/>
        </w:rPr>
      </w:pPr>
      <w:r w:rsidRPr="00CB04DC">
        <w:rPr>
          <w:color w:val="000000"/>
          <w:lang w:val="en-US"/>
        </w:rPr>
        <w:t xml:space="preserve">3. </w:t>
      </w:r>
      <w:r w:rsidRPr="00CB04DC">
        <w:rPr>
          <w:color w:val="000000"/>
          <w:lang w:val="en-US"/>
        </w:rPr>
        <w:tab/>
        <w:t>España G, Cavany S, Oidtman R, Barbera C, Costello A, Lerch A, et al. Impacts of K-12 school reopening on the COVID-19 epidemic in Indiana, USA. Epidemics. 2021;37: 100487. doi:10.1016/j.epidem.2021.100487</w:t>
      </w:r>
    </w:p>
    <w:p w14:paraId="2CB4E427" w14:textId="77777777" w:rsidR="00CB04DC" w:rsidRPr="00CB04DC" w:rsidRDefault="00CB04DC" w:rsidP="00CB04DC">
      <w:pPr>
        <w:pStyle w:val="Irodalomjegyzk"/>
        <w:rPr>
          <w:color w:val="000000"/>
          <w:lang w:val="en-US"/>
        </w:rPr>
      </w:pPr>
      <w:r w:rsidRPr="00CB04DC">
        <w:rPr>
          <w:color w:val="000000"/>
          <w:lang w:val="en-US"/>
        </w:rPr>
        <w:t xml:space="preserve">4. </w:t>
      </w:r>
      <w:r w:rsidRPr="00CB04DC">
        <w:rPr>
          <w:color w:val="000000"/>
          <w:lang w:val="en-US"/>
        </w:rPr>
        <w:tab/>
        <w:t>Bouchnita A, Bi K, Fox S, Meyers LA. Projecting Omicron scenarios in the US while tracking population-level immunity. Epidemiology; 2023 Aug. doi:10.1101/2023.08.11.23293996</w:t>
      </w:r>
    </w:p>
    <w:p w14:paraId="32A1881B" w14:textId="77777777" w:rsidR="00CB04DC" w:rsidRPr="00CB04DC" w:rsidRDefault="00CB04DC" w:rsidP="00CB04DC">
      <w:pPr>
        <w:pStyle w:val="Irodalomjegyzk"/>
        <w:rPr>
          <w:color w:val="000000"/>
          <w:lang w:val="en-US"/>
        </w:rPr>
      </w:pPr>
      <w:r w:rsidRPr="00CB04DC">
        <w:rPr>
          <w:color w:val="000000"/>
          <w:lang w:val="en-US"/>
        </w:rPr>
        <w:t xml:space="preserve">5. </w:t>
      </w:r>
      <w:r w:rsidRPr="00CB04DC">
        <w:rPr>
          <w:color w:val="000000"/>
          <w:lang w:val="en-US"/>
        </w:rPr>
        <w:tab/>
        <w:t>Patel MD, Rosenstrom E, Ivy JS, Mayorga ME, Keskinocak P, Boyce RM, et al. Association of Simulated COVID-19 Vaccination and Nonpharmaceutical Interventions With Infections, Hospitalizations, and Mortality. JAMA Netw Open. 2021;4: e2110782. doi:10.1001/jamanetworkopen.2021.10782</w:t>
      </w:r>
    </w:p>
    <w:p w14:paraId="5BEC4236" w14:textId="6BC7D361" w:rsidR="009E611D" w:rsidRPr="00CB04DC" w:rsidRDefault="00CB04DC">
      <w:pPr>
        <w:rPr>
          <w:color w:val="000000" w:themeColor="text1"/>
        </w:rPr>
      </w:pPr>
      <w:r>
        <w:rPr>
          <w:color w:val="000000" w:themeColor="text1"/>
        </w:rPr>
        <w:fldChar w:fldCharType="end"/>
      </w:r>
    </w:p>
    <w:p w14:paraId="05BE4D07" w14:textId="77777777" w:rsidR="00CB04DC" w:rsidRDefault="00CB04DC"/>
    <w:sectPr w:rsidR="00CB04DC" w:rsidSect="00D72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50"/>
    <w:rsid w:val="00030F18"/>
    <w:rsid w:val="00103F88"/>
    <w:rsid w:val="001A7711"/>
    <w:rsid w:val="002F07C9"/>
    <w:rsid w:val="00315BD4"/>
    <w:rsid w:val="0052624D"/>
    <w:rsid w:val="007E2E50"/>
    <w:rsid w:val="00910754"/>
    <w:rsid w:val="009B064F"/>
    <w:rsid w:val="009E611D"/>
    <w:rsid w:val="00B03758"/>
    <w:rsid w:val="00B438CB"/>
    <w:rsid w:val="00CB04DC"/>
    <w:rsid w:val="00D72BD9"/>
    <w:rsid w:val="00DE0D80"/>
    <w:rsid w:val="00F16BC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62CC"/>
  <w15:chartTrackingRefBased/>
  <w15:docId w15:val="{321AF503-D23B-A64B-A917-2DE8A6E3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B04DC"/>
    <w:pPr>
      <w:spacing w:after="0" w:line="240" w:lineRule="auto"/>
    </w:pPr>
    <w:rPr>
      <w:rFonts w:ascii="Times New Roman" w:eastAsia="Times New Roman" w:hAnsi="Times New Roman" w:cs="Times New Roman"/>
      <w:kern w:val="0"/>
      <w14:ligatures w14:val="none"/>
    </w:rPr>
  </w:style>
  <w:style w:type="paragraph" w:styleId="Cmsor1">
    <w:name w:val="heading 1"/>
    <w:basedOn w:val="Norml"/>
    <w:next w:val="Norml"/>
    <w:link w:val="Cmsor1Char"/>
    <w:uiPriority w:val="9"/>
    <w:qFormat/>
    <w:rsid w:val="007E2E5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Cmsor2">
    <w:name w:val="heading 2"/>
    <w:basedOn w:val="Norml"/>
    <w:next w:val="Norml"/>
    <w:link w:val="Cmsor2Char"/>
    <w:uiPriority w:val="9"/>
    <w:semiHidden/>
    <w:unhideWhenUsed/>
    <w:qFormat/>
    <w:rsid w:val="007E2E5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Cmsor3">
    <w:name w:val="heading 3"/>
    <w:basedOn w:val="Norml"/>
    <w:next w:val="Norml"/>
    <w:link w:val="Cmsor3Char"/>
    <w:uiPriority w:val="9"/>
    <w:semiHidden/>
    <w:unhideWhenUsed/>
    <w:qFormat/>
    <w:rsid w:val="007E2E5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Cmsor4">
    <w:name w:val="heading 4"/>
    <w:basedOn w:val="Norml"/>
    <w:next w:val="Norml"/>
    <w:link w:val="Cmsor4Char"/>
    <w:uiPriority w:val="9"/>
    <w:semiHidden/>
    <w:unhideWhenUsed/>
    <w:qFormat/>
    <w:rsid w:val="007E2E50"/>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Cmsor5">
    <w:name w:val="heading 5"/>
    <w:basedOn w:val="Norml"/>
    <w:next w:val="Norml"/>
    <w:link w:val="Cmsor5Char"/>
    <w:uiPriority w:val="9"/>
    <w:semiHidden/>
    <w:unhideWhenUsed/>
    <w:qFormat/>
    <w:rsid w:val="007E2E50"/>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Cmsor6">
    <w:name w:val="heading 6"/>
    <w:basedOn w:val="Norml"/>
    <w:next w:val="Norml"/>
    <w:link w:val="Cmsor6Char"/>
    <w:uiPriority w:val="9"/>
    <w:semiHidden/>
    <w:unhideWhenUsed/>
    <w:qFormat/>
    <w:rsid w:val="007E2E50"/>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Cmsor7">
    <w:name w:val="heading 7"/>
    <w:basedOn w:val="Norml"/>
    <w:next w:val="Norml"/>
    <w:link w:val="Cmsor7Char"/>
    <w:uiPriority w:val="9"/>
    <w:semiHidden/>
    <w:unhideWhenUsed/>
    <w:qFormat/>
    <w:rsid w:val="007E2E50"/>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Cmsor8">
    <w:name w:val="heading 8"/>
    <w:basedOn w:val="Norml"/>
    <w:next w:val="Norml"/>
    <w:link w:val="Cmsor8Char"/>
    <w:uiPriority w:val="9"/>
    <w:semiHidden/>
    <w:unhideWhenUsed/>
    <w:qFormat/>
    <w:rsid w:val="007E2E50"/>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Cmsor9">
    <w:name w:val="heading 9"/>
    <w:basedOn w:val="Norml"/>
    <w:next w:val="Norml"/>
    <w:link w:val="Cmsor9Char"/>
    <w:uiPriority w:val="9"/>
    <w:semiHidden/>
    <w:unhideWhenUsed/>
    <w:qFormat/>
    <w:rsid w:val="007E2E50"/>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2E50"/>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7E2E50"/>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7E2E50"/>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7E2E50"/>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7E2E50"/>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7E2E50"/>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7E2E50"/>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7E2E50"/>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7E2E50"/>
    <w:rPr>
      <w:rFonts w:eastAsiaTheme="majorEastAsia" w:cstheme="majorBidi"/>
      <w:color w:val="272727" w:themeColor="text1" w:themeTint="D8"/>
    </w:rPr>
  </w:style>
  <w:style w:type="paragraph" w:styleId="Cm">
    <w:name w:val="Title"/>
    <w:basedOn w:val="Norml"/>
    <w:next w:val="Norml"/>
    <w:link w:val="CmChar"/>
    <w:uiPriority w:val="10"/>
    <w:qFormat/>
    <w:rsid w:val="007E2E5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CmChar">
    <w:name w:val="Cím Char"/>
    <w:basedOn w:val="Bekezdsalapbettpusa"/>
    <w:link w:val="Cm"/>
    <w:uiPriority w:val="10"/>
    <w:rsid w:val="007E2E50"/>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7E2E5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AlcmChar">
    <w:name w:val="Alcím Char"/>
    <w:basedOn w:val="Bekezdsalapbettpusa"/>
    <w:link w:val="Alcm"/>
    <w:uiPriority w:val="11"/>
    <w:rsid w:val="007E2E50"/>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7E2E50"/>
    <w:pPr>
      <w:spacing w:before="160" w:after="160" w:line="278" w:lineRule="auto"/>
      <w:jc w:val="center"/>
    </w:pPr>
    <w:rPr>
      <w:rFonts w:asciiTheme="minorHAnsi" w:eastAsiaTheme="minorEastAsia" w:hAnsiTheme="minorHAnsi" w:cstheme="minorBidi"/>
      <w:i/>
      <w:iCs/>
      <w:color w:val="404040" w:themeColor="text1" w:themeTint="BF"/>
      <w:kern w:val="2"/>
      <w14:ligatures w14:val="standardContextual"/>
    </w:rPr>
  </w:style>
  <w:style w:type="character" w:customStyle="1" w:styleId="IdzetChar">
    <w:name w:val="Idézet Char"/>
    <w:basedOn w:val="Bekezdsalapbettpusa"/>
    <w:link w:val="Idzet"/>
    <w:uiPriority w:val="29"/>
    <w:rsid w:val="007E2E50"/>
    <w:rPr>
      <w:i/>
      <w:iCs/>
      <w:color w:val="404040" w:themeColor="text1" w:themeTint="BF"/>
    </w:rPr>
  </w:style>
  <w:style w:type="paragraph" w:styleId="Listaszerbekezds">
    <w:name w:val="List Paragraph"/>
    <w:basedOn w:val="Norml"/>
    <w:uiPriority w:val="34"/>
    <w:qFormat/>
    <w:rsid w:val="007E2E50"/>
    <w:pPr>
      <w:spacing w:after="160" w:line="278" w:lineRule="auto"/>
      <w:ind w:left="720"/>
      <w:contextualSpacing/>
    </w:pPr>
    <w:rPr>
      <w:rFonts w:asciiTheme="minorHAnsi" w:eastAsiaTheme="minorEastAsia" w:hAnsiTheme="minorHAnsi" w:cstheme="minorBidi"/>
      <w:kern w:val="2"/>
      <w14:ligatures w14:val="standardContextual"/>
    </w:rPr>
  </w:style>
  <w:style w:type="character" w:styleId="Erskiemels">
    <w:name w:val="Intense Emphasis"/>
    <w:basedOn w:val="Bekezdsalapbettpusa"/>
    <w:uiPriority w:val="21"/>
    <w:qFormat/>
    <w:rsid w:val="007E2E50"/>
    <w:rPr>
      <w:i/>
      <w:iCs/>
      <w:color w:val="0F4761" w:themeColor="accent1" w:themeShade="BF"/>
    </w:rPr>
  </w:style>
  <w:style w:type="paragraph" w:styleId="Kiemeltidzet">
    <w:name w:val="Intense Quote"/>
    <w:basedOn w:val="Norml"/>
    <w:next w:val="Norml"/>
    <w:link w:val="KiemeltidzetChar"/>
    <w:uiPriority w:val="30"/>
    <w:qFormat/>
    <w:rsid w:val="007E2E5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EastAsia" w:hAnsiTheme="minorHAnsi" w:cstheme="minorBidi"/>
      <w:i/>
      <w:iCs/>
      <w:color w:val="0F4761" w:themeColor="accent1" w:themeShade="BF"/>
      <w:kern w:val="2"/>
      <w14:ligatures w14:val="standardContextual"/>
    </w:rPr>
  </w:style>
  <w:style w:type="character" w:customStyle="1" w:styleId="KiemeltidzetChar">
    <w:name w:val="Kiemelt idézet Char"/>
    <w:basedOn w:val="Bekezdsalapbettpusa"/>
    <w:link w:val="Kiemeltidzet"/>
    <w:uiPriority w:val="30"/>
    <w:rsid w:val="007E2E50"/>
    <w:rPr>
      <w:i/>
      <w:iCs/>
      <w:color w:val="0F4761" w:themeColor="accent1" w:themeShade="BF"/>
    </w:rPr>
  </w:style>
  <w:style w:type="character" w:styleId="Ershivatkozs">
    <w:name w:val="Intense Reference"/>
    <w:basedOn w:val="Bekezdsalapbettpusa"/>
    <w:uiPriority w:val="32"/>
    <w:qFormat/>
    <w:rsid w:val="007E2E50"/>
    <w:rPr>
      <w:b/>
      <w:bCs/>
      <w:smallCaps/>
      <w:color w:val="0F4761" w:themeColor="accent1" w:themeShade="BF"/>
      <w:spacing w:val="5"/>
    </w:rPr>
  </w:style>
  <w:style w:type="paragraph" w:styleId="NormlWeb">
    <w:name w:val="Normal (Web)"/>
    <w:basedOn w:val="Norml"/>
    <w:uiPriority w:val="99"/>
    <w:unhideWhenUsed/>
    <w:rsid w:val="00CB04DC"/>
    <w:pPr>
      <w:spacing w:before="100" w:beforeAutospacing="1" w:after="100" w:afterAutospacing="1"/>
    </w:pPr>
  </w:style>
  <w:style w:type="paragraph" w:styleId="Irodalomjegyzk">
    <w:name w:val="Bibliography"/>
    <w:basedOn w:val="Norml"/>
    <w:next w:val="Norml"/>
    <w:uiPriority w:val="37"/>
    <w:unhideWhenUsed/>
    <w:rsid w:val="00CB04DC"/>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1759</Words>
  <Characters>12144</Characters>
  <Application>Microsoft Office Word</Application>
  <DocSecurity>0</DocSecurity>
  <Lines>101</Lines>
  <Paragraphs>27</Paragraphs>
  <ScaleCrop>false</ScaleCrop>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Sungmok</dc:creator>
  <cp:keywords/>
  <dc:description/>
  <cp:lastModifiedBy>Katalin Szabó</cp:lastModifiedBy>
  <cp:revision>11</cp:revision>
  <dcterms:created xsi:type="dcterms:W3CDTF">2024-03-29T15:17:00Z</dcterms:created>
  <dcterms:modified xsi:type="dcterms:W3CDTF">2024-04-03T20:08:00Z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zotero-version="6.0.37"&gt;&lt;session id="b8UpgQd3"/&gt;&lt;style id="http://www.zotero.org/styles/plos-medicine" hasBibliography="1" bibliographyStyleHasBeenSet="1"/&gt;&lt;prefs&gt;&lt;pref name="fieldType" value="Field"/&gt;&lt;/prefs&gt;&lt;/data&gt;</vt:lpwstr>
  </property>
</Properties>
</file>